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в социальной работе»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«Нормативно-правовое обеспечение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«Нормативно-правовое обеспечение в социальной работе»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260.7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3 "Социально-бытовые и социально-правовые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Модуль 1</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Социальная политика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Методика исследований и квалитология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2"/>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 социальной работы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22.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Законодательная, нормативно-правовая база социальной работы в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Определяющие правовые документы законодательной базы, нормативно правовой базы в России в соответствии с субъектами их издания:</w:t>
            </w:r>
          </w:p>
          <w:p>
            <w:pPr>
              <w:jc w:val="both"/>
              <w:spacing w:after="0" w:line="240" w:lineRule="auto"/>
              <w:rPr>
                <w:sz w:val="24"/>
                <w:szCs w:val="24"/>
              </w:rPr>
            </w:pPr>
            <w:r>
              <w:rPr>
                <w:rFonts w:ascii="Times New Roman" w:hAnsi="Times New Roman" w:cs="Times New Roman"/>
                <w:color w:val="#000000"/>
                <w:sz w:val="24"/>
                <w:szCs w:val="24"/>
              </w:rPr>
              <w:t> - регламентирующие, рекомендательные документы мирового сообщества (учредительные акты, декларации, пакты, конвенции, рекомендации и резолюции ООН, ВОЗ, МОТ, ЮНИСЕФ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9.65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нормативно-правовая база социальной работы в России: трудовой, гражданский, уголовный, административный, семейный кодексы и другие нормативно- правовые акты. Квалификационный справочник должностей руководителей и служащих.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терминами: Граница компетентности и социальной ответственности. Понятие компетенции. Долг. Принципы и нормы поведения социального работника. Супервизия как институт практической подготовки специалистов по социальной работе. Профессиональная компетентность в практике социальной работы. Профессионально- важные навыки и умения социального работника.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принципы социальной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терминами: Субъекты, объекты социальной политики. Социальная политика и права человека. Нормы и стандарты прав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Социально-правовой статус социального работника Конституция РФ – фундаментальная правовая основа для организации и проведения социальной работы с населением.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1.Характеристика профессии: специалист по социальной работе, социальный работник. 2.Нормативно-правовая база подготовки и переподготовки специалистов.        3.Основы развития профессиональной компетентности социального работника.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в социальной работе»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https://www.biblio-online.ru/bcode/401801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https://urait.ru/bcode/396884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978-5-9916-4918-6.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2024-2025_ФГОС3++2024_Бак-ЗФО-СР(24)_plx_Нормативно-правовое обеспечение в социальной работе</dc:title>
  <dc:creator>FastReport.NET</dc:creator>
</cp:coreProperties>
</file>